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7969"/>
      </w:tblGrid>
      <w:tr w:rsidR="00166DB7" w:rsidRPr="00166DB7" w:rsidTr="00166DB7">
        <w:trPr>
          <w:jc w:val="center"/>
        </w:trPr>
        <w:tc>
          <w:tcPr>
            <w:tcW w:w="75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66DB7">
              <w:rPr>
                <w:rFonts w:ascii="新細明體" w:eastAsia="新細明體" w:hAnsi="新細明體" w:cs="新細明體"/>
                <w:b/>
                <w:bCs/>
                <w:color w:val="003366"/>
                <w:kern w:val="0"/>
                <w:szCs w:val="24"/>
              </w:rPr>
              <w:t>法規名稱：</w:t>
            </w:r>
          </w:p>
        </w:tc>
        <w:tc>
          <w:tcPr>
            <w:tcW w:w="4250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Pr="00166DB7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新北市公私立幼兒園收費及退費標準</w:t>
              </w:r>
            </w:hyperlink>
            <w:r w:rsidRPr="00166DB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(民國 103 年 01 月 15 日 修正)</w:t>
            </w:r>
          </w:p>
        </w:tc>
      </w:tr>
      <w:tr w:rsidR="00166DB7" w:rsidRPr="00166DB7" w:rsidTr="00166DB7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hyperlink r:id="rId6" w:history="1"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第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1  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條</w:t>
              </w:r>
            </w:hyperlink>
            <w:r w:rsidRPr="00166DB7">
              <w:rPr>
                <w:rFonts w:ascii="өũ" w:eastAsia="細明體" w:hAnsi="өũ" w:cs="細明體"/>
                <w:kern w:val="0"/>
                <w:szCs w:val="24"/>
              </w:rPr>
              <w:t>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本標準依幼兒教育及照顧法（以下簡稱本法）第四十二條第一項及第四項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規定訂定之。</w:t>
            </w:r>
          </w:p>
        </w:tc>
      </w:tr>
      <w:tr w:rsidR="00166DB7" w:rsidRPr="00166DB7" w:rsidTr="00166DB7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hyperlink r:id="rId7" w:history="1"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第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2  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條</w:t>
              </w:r>
            </w:hyperlink>
            <w:r w:rsidRPr="00166DB7">
              <w:rPr>
                <w:rFonts w:ascii="өũ" w:eastAsia="細明體" w:hAnsi="өũ" w:cs="細明體"/>
                <w:kern w:val="0"/>
                <w:szCs w:val="24"/>
              </w:rPr>
              <w:t>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本標準所稱幼兒園，指設立於新北市之公私立幼兒園及其分班，其範圍依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幼兒園與其分班設立變更及管理辦法第三條之規定。</w:t>
            </w:r>
          </w:p>
        </w:tc>
      </w:tr>
      <w:tr w:rsidR="00166DB7" w:rsidRPr="00166DB7" w:rsidTr="00166DB7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hyperlink r:id="rId8" w:history="1"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第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3  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條</w:t>
              </w:r>
            </w:hyperlink>
            <w:r w:rsidRPr="00166DB7">
              <w:rPr>
                <w:rFonts w:ascii="өũ" w:eastAsia="細明體" w:hAnsi="өũ" w:cs="細明體"/>
                <w:kern w:val="0"/>
                <w:szCs w:val="24"/>
              </w:rPr>
              <w:t>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幼兒園收費項目及用途如下：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一、學費：用以支付與教保活動直接相關之人事費用。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二、雜費：用以支付與教保活動間接相關之設備購置費、修繕費、維護費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>、水電費、行政業務費；私立幼兒園</w:t>
            </w:r>
            <w:bookmarkStart w:id="0" w:name="_GoBack"/>
            <w:bookmarkEnd w:id="0"/>
            <w:r w:rsidRPr="00166DB7">
              <w:rPr>
                <w:rFonts w:ascii="өũ" w:eastAsia="細明體" w:hAnsi="өũ" w:cs="細明體"/>
                <w:kern w:val="0"/>
                <w:szCs w:val="24"/>
              </w:rPr>
              <w:t>並得用以支付土地或建築物租賃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>費，或其他庶務人員之人事費用。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三、代辦費：幼兒園代為辦理幼兒相關事務之費用如下：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（一）材料費：輔助教學主題所需必要之教學素材。但不得支應於購置才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>藝（能）教學用品。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（二）活動費：教學活動所需之場地佈置費、校外場地使用費、該項教學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>活動經費總額百分之五限額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內之雜支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費用。但不得支應才藝（能）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>學習活動費用及非幼生之團體旅遊。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（三）午餐費：午餐食材、廚（餐）具、燃料費等。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（四）點心費：每日上、下午點心之食材、廚（餐）具、燃料費等。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（五）交通費：幼童專用車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之油資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、保養修繕、保險、規費等。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（六）課後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延托費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：學期教保服務起訖日期間辦理平日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課後延托服務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，相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>關人員加班費及行政支出等。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（七）保險費：幼兒團體保險費。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（八）家長會費：幼兒園家長會之行政、業務等庶務費用。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（九）其他費用：代購運動服（制服、圍兜）、書包及餐具之費用，或辦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>理戶外教學之門票及租賃車輛或搭乘大眾運輸工具之費用。但應視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     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>家長個別需求，不得強制要求購買或參加。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公立幼兒園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寒暑假收托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服務相關規定，由新北市政府（以下簡稱本府）另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定之。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幼兒園得視實際需求，減列第一項各款之收費項目，並不得另行向家長收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取所定項目以外之費用。</w:t>
            </w:r>
          </w:p>
        </w:tc>
      </w:tr>
      <w:tr w:rsidR="00166DB7" w:rsidRPr="00166DB7" w:rsidTr="00166DB7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hyperlink r:id="rId9" w:history="1"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第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4  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條</w:t>
              </w:r>
            </w:hyperlink>
            <w:r w:rsidRPr="00166DB7">
              <w:rPr>
                <w:rFonts w:ascii="өũ" w:eastAsia="細明體" w:hAnsi="өũ" w:cs="細明體"/>
                <w:kern w:val="0"/>
                <w:szCs w:val="24"/>
              </w:rPr>
              <w:t>  </w:t>
            </w:r>
            <w:r>
              <w:rPr>
                <w:rFonts w:ascii="өũ" w:eastAsia="細明體" w:hAnsi="өũ" w:cs="細明體" w:hint="eastAsia"/>
                <w:noProof/>
                <w:kern w:val="0"/>
                <w:szCs w:val="24"/>
              </w:rPr>
              <w:drawing>
                <wp:inline distT="0" distB="0" distL="0" distR="0">
                  <wp:extent cx="104775" cy="133350"/>
                  <wp:effectExtent l="0" t="0" r="9525" b="0"/>
                  <wp:docPr id="1" name="圖片 1" descr="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公立幼兒園應收取之各項費用基準如附表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一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公立幼兒園收托之下列幼兒，其減免學費基準如附表二：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一、低收入戶幼兒、特殊境遇家庭幼兒或原住民族幼兒。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二、身心障礙幼兒（含發展遲緩幼兒）或幼兒之家長為身心障礙者。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三、家境清寒幼兒、隔代教養幼兒或單親家庭幼兒。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申請前項減免，應提出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收托期程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內有效之證明文件，逾期不予受理。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私立幼兒園應依前條所定收費項目，自訂次學年度之收費數額，並於每年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lastRenderedPageBreak/>
              <w:t>六月三十日前報本府備查後，始得向家長收取費用。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幼兒園之收費、退費基準及減免收費規定，應於每學期開始前一個月，公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告於本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府指定網站。</w:t>
            </w:r>
          </w:p>
        </w:tc>
      </w:tr>
      <w:tr w:rsidR="00166DB7" w:rsidRPr="00166DB7" w:rsidTr="00166DB7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hyperlink r:id="rId11" w:history="1"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第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5  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條</w:t>
              </w:r>
            </w:hyperlink>
            <w:r w:rsidRPr="00166DB7">
              <w:rPr>
                <w:rFonts w:ascii="өũ" w:eastAsia="細明體" w:hAnsi="өũ" w:cs="細明體"/>
                <w:kern w:val="0"/>
                <w:szCs w:val="24"/>
              </w:rPr>
              <w:t>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學期中入園者，以實際入園日期為收費、退費基準日。全學期收費項目，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按月數比例計算；每月收費項目，按日數比例計算。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保險費及家長會費之收取，依學生團體保險及家長會設置相關規定。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幼兒園應於收費規定、繳費及退費收據，註記收費、退費基準及全學期教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保服務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起迄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日，並由園方、家長各執一份。</w:t>
            </w:r>
          </w:p>
        </w:tc>
      </w:tr>
      <w:tr w:rsidR="00166DB7" w:rsidRPr="00166DB7" w:rsidTr="00166DB7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hyperlink r:id="rId12" w:history="1"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第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6  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條</w:t>
              </w:r>
            </w:hyperlink>
            <w:r w:rsidRPr="00166DB7">
              <w:rPr>
                <w:rFonts w:ascii="өũ" w:eastAsia="細明體" w:hAnsi="өũ" w:cs="細明體"/>
                <w:kern w:val="0"/>
                <w:szCs w:val="24"/>
              </w:rPr>
              <w:t>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幼兒因故無法就讀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而離園者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，幼兒園應依下列規定辦理退費：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一、學費：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（一）學期教保服務起始日前，表明無法就讀者，全數退還。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（二）入學後未逾六星期者，退還三分之二。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（三）入學後逾六星期，未逾八星期者，退還二分之一。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（四）入學後逾八星期者，不予退費。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二、家長會費以外之代辦費：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（一）以學期為收費期間者，按就讀月數比例退費。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（二）以月為收費期間者，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按離園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當月就讀日數比例退費。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（三）已製成成品者，不予退費，並發還成品。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前項第二款第二目之就讀日數比例，以當月幼兒實際就讀日數除以幼兒園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教保服務之日數計；前項第二款第一目之就讀月數比例，以全學期幼兒實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際就讀月數除以幼兒園教保服務之月數計，未滿一個月者，按就讀日數比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例收取費用。</w:t>
            </w:r>
          </w:p>
        </w:tc>
      </w:tr>
      <w:tr w:rsidR="00166DB7" w:rsidRPr="00166DB7" w:rsidTr="00166DB7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hyperlink r:id="rId13" w:history="1"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第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7  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條</w:t>
              </w:r>
            </w:hyperlink>
            <w:r w:rsidRPr="00166DB7">
              <w:rPr>
                <w:rFonts w:ascii="өũ" w:eastAsia="細明體" w:hAnsi="өũ" w:cs="細明體"/>
                <w:kern w:val="0"/>
                <w:szCs w:val="24"/>
              </w:rPr>
              <w:t>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有下列情形之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一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者，應按當月就讀日數比例，退還請假或停課期間之午餐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費、點心費、交通費、按日或按次計算之課後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延托費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等代辦費項目，其餘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項目不予退費：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一、事先請假且請假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日數含假日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連續達七日以上。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二、因法定傳染病、流行病或流行性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疫情等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強制停課含假日連續達七日以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>上。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三、國定假日、農曆春節含例假日連續達七日以上。</w:t>
            </w:r>
            <w:r w:rsidRPr="00166DB7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前項第三款之退費，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採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事先扣除方式辦理。但須補課之彈性放假日，不予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退費。</w:t>
            </w:r>
          </w:p>
        </w:tc>
      </w:tr>
      <w:tr w:rsidR="00166DB7" w:rsidRPr="00166DB7" w:rsidTr="00166DB7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hyperlink r:id="rId14" w:history="1"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第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8  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條</w:t>
              </w:r>
            </w:hyperlink>
            <w:r w:rsidRPr="00166DB7">
              <w:rPr>
                <w:rFonts w:ascii="өũ" w:eastAsia="細明體" w:hAnsi="өũ" w:cs="細明體"/>
                <w:kern w:val="0"/>
                <w:szCs w:val="24"/>
              </w:rPr>
              <w:t>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幼兒園各項經費收支保管及運用，應依本法第四十四條規定設置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專帳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處理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，並依規定年限保存收支憑證。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私立幼兒園會計帳簿與憑證之管理，應依會計法相關規定辦理。</w:t>
            </w:r>
          </w:p>
        </w:tc>
      </w:tr>
      <w:tr w:rsidR="00166DB7" w:rsidRPr="00166DB7" w:rsidTr="00166DB7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hyperlink r:id="rId15" w:history="1"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第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9  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條</w:t>
              </w:r>
            </w:hyperlink>
            <w:r w:rsidRPr="00166DB7">
              <w:rPr>
                <w:rFonts w:ascii="өũ" w:eastAsia="細明體" w:hAnsi="өũ" w:cs="細明體"/>
                <w:kern w:val="0"/>
                <w:szCs w:val="24"/>
              </w:rPr>
              <w:t>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幼兒園收取或退還各項費用，違反本標準者，應予退費；未</w:t>
            </w:r>
            <w:proofErr w:type="gramStart"/>
            <w:r w:rsidRPr="00166DB7">
              <w:rPr>
                <w:rFonts w:ascii="өũ" w:eastAsia="細明體" w:hAnsi="өũ" w:cs="細明體"/>
                <w:kern w:val="0"/>
                <w:szCs w:val="24"/>
              </w:rPr>
              <w:t>予退</w:t>
            </w:r>
            <w:proofErr w:type="gramEnd"/>
            <w:r w:rsidRPr="00166DB7">
              <w:rPr>
                <w:rFonts w:ascii="өũ" w:eastAsia="細明體" w:hAnsi="өũ" w:cs="細明體"/>
                <w:kern w:val="0"/>
                <w:szCs w:val="24"/>
              </w:rPr>
              <w:t>費者，依</w:t>
            </w:r>
          </w:p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本法第五十一條第八款規定處罰。</w:t>
            </w:r>
          </w:p>
        </w:tc>
      </w:tr>
      <w:tr w:rsidR="00166DB7" w:rsidRPr="00166DB7" w:rsidTr="00166DB7">
        <w:trPr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hyperlink r:id="rId16" w:history="1"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第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  10  </w:t>
              </w:r>
              <w:r w:rsidRPr="00166DB7">
                <w:rPr>
                  <w:rFonts w:ascii="өũ" w:eastAsia="細明體" w:hAnsi="өũ" w:cs="細明體"/>
                  <w:color w:val="0066CC"/>
                  <w:kern w:val="0"/>
                  <w:szCs w:val="24"/>
                </w:rPr>
                <w:t>條</w:t>
              </w:r>
            </w:hyperlink>
            <w:r w:rsidRPr="00166DB7">
              <w:rPr>
                <w:rFonts w:ascii="өũ" w:eastAsia="細明體" w:hAnsi="өũ" w:cs="細明體"/>
                <w:kern w:val="0"/>
                <w:szCs w:val="24"/>
              </w:rPr>
              <w:t>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6DB7" w:rsidRPr="00166DB7" w:rsidRDefault="00166DB7" w:rsidP="00166D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/>
                <w:kern w:val="0"/>
                <w:szCs w:val="24"/>
              </w:rPr>
            </w:pPr>
            <w:r w:rsidRPr="00166DB7">
              <w:rPr>
                <w:rFonts w:ascii="өũ" w:eastAsia="細明體" w:hAnsi="өũ" w:cs="細明體"/>
                <w:kern w:val="0"/>
                <w:szCs w:val="24"/>
              </w:rPr>
              <w:t>本標準自發布日施行。</w:t>
            </w:r>
          </w:p>
        </w:tc>
      </w:tr>
    </w:tbl>
    <w:p w:rsidR="002643E3" w:rsidRPr="00166DB7" w:rsidRDefault="002643E3"/>
    <w:sectPr w:rsidR="002643E3" w:rsidRPr="00166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8"/>
    <w:rsid w:val="00166DB7"/>
    <w:rsid w:val="002643E3"/>
    <w:rsid w:val="00D6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DB7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166D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66DB7"/>
    <w:rPr>
      <w:rFonts w:ascii="өũ" w:eastAsia="細明體" w:hAnsi="өũ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6D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DB7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166D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66DB7"/>
    <w:rPr>
      <w:rFonts w:ascii="өũ" w:eastAsia="細明體" w:hAnsi="өũ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6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law.ntpc.gov.tw/Scripts/Query1B.asp?no=1C00501593" TargetMode="External"/><Relationship Id="rId13" Type="http://schemas.openxmlformats.org/officeDocument/2006/relationships/hyperlink" Target="http://web.law.ntpc.gov.tw/Scripts/Query1B.asp?no=1C005015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eb.law.ntpc.gov.tw/Scripts/Query1B.asp?no=1C00501592" TargetMode="External"/><Relationship Id="rId12" Type="http://schemas.openxmlformats.org/officeDocument/2006/relationships/hyperlink" Target="http://web.law.ntpc.gov.tw/Scripts/Query1B.asp?no=1C0050159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eb.law.ntpc.gov.tw/Scripts/Query1B.asp?no=1C005015910" TargetMode="External"/><Relationship Id="rId1" Type="http://schemas.openxmlformats.org/officeDocument/2006/relationships/styles" Target="styles.xml"/><Relationship Id="rId6" Type="http://schemas.openxmlformats.org/officeDocument/2006/relationships/hyperlink" Target="http://web.law.ntpc.gov.tw/Scripts/Query1B.asp?no=1C00501591" TargetMode="External"/><Relationship Id="rId11" Type="http://schemas.openxmlformats.org/officeDocument/2006/relationships/hyperlink" Target="http://web.law.ntpc.gov.tw/Scripts/Query1B.asp?no=1C00501595" TargetMode="External"/><Relationship Id="rId5" Type="http://schemas.openxmlformats.org/officeDocument/2006/relationships/hyperlink" Target="http://web.law.ntpc.gov.tw/Scripts/newsdetail.asp?no=1C0050159" TargetMode="External"/><Relationship Id="rId15" Type="http://schemas.openxmlformats.org/officeDocument/2006/relationships/hyperlink" Target="http://web.law.ntpc.gov.tw/Scripts/Query1B.asp?no=1C00501599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eb.law.ntpc.gov.tw/Scripts/Query1B.asp?no=1C00501594" TargetMode="External"/><Relationship Id="rId14" Type="http://schemas.openxmlformats.org/officeDocument/2006/relationships/hyperlink" Target="http://web.law.ntpc.gov.tw/Scripts/Query1B.asp?no=1C0050159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2015-12-09T07:30:00Z</dcterms:created>
  <dcterms:modified xsi:type="dcterms:W3CDTF">2015-12-09T07:31:00Z</dcterms:modified>
</cp:coreProperties>
</file>